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89685" w14:textId="77777777" w:rsidR="00203A0B" w:rsidRDefault="00203A0B" w:rsidP="00A443F9">
      <w:pPr>
        <w:pStyle w:val="NormalWeb"/>
        <w:spacing w:before="0" w:beforeAutospacing="0" w:after="0" w:afterAutospacing="0"/>
        <w:jc w:val="center"/>
        <w:rPr>
          <w:rFonts w:asciiTheme="minorHAnsi" w:hAnsiTheme="minorHAnsi" w:cs="Arial"/>
          <w:b/>
          <w:sz w:val="22"/>
          <w:szCs w:val="22"/>
          <w:u w:val="single"/>
        </w:rPr>
      </w:pPr>
      <w:r>
        <w:rPr>
          <w:noProof/>
          <w:lang w:val="en-US" w:eastAsia="en-US"/>
        </w:rPr>
        <w:drawing>
          <wp:inline distT="0" distB="0" distL="0" distR="0" wp14:anchorId="2AAEC9DE" wp14:editId="0E830658">
            <wp:extent cx="2857500" cy="1266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ural Stone Institute Logo Smaller.jpg"/>
                    <pic:cNvPicPr/>
                  </pic:nvPicPr>
                  <pic:blipFill rotWithShape="1">
                    <a:blip r:embed="rId7">
                      <a:extLst>
                        <a:ext uri="{28A0092B-C50C-407E-A947-70E740481C1C}">
                          <a14:useLocalDpi xmlns:a14="http://schemas.microsoft.com/office/drawing/2010/main" val="0"/>
                        </a:ext>
                      </a:extLst>
                    </a:blip>
                    <a:srcRect b="12500"/>
                    <a:stretch/>
                  </pic:blipFill>
                  <pic:spPr bwMode="auto">
                    <a:xfrm>
                      <a:off x="0" y="0"/>
                      <a:ext cx="2857500" cy="1266825"/>
                    </a:xfrm>
                    <a:prstGeom prst="rect">
                      <a:avLst/>
                    </a:prstGeom>
                    <a:ln>
                      <a:noFill/>
                    </a:ln>
                    <a:extLst>
                      <a:ext uri="{53640926-AAD7-44D8-BBD7-CCE9431645EC}">
                        <a14:shadowObscured xmlns:a14="http://schemas.microsoft.com/office/drawing/2010/main"/>
                      </a:ext>
                    </a:extLst>
                  </pic:spPr>
                </pic:pic>
              </a:graphicData>
            </a:graphic>
          </wp:inline>
        </w:drawing>
      </w:r>
    </w:p>
    <w:p w14:paraId="55033E10" w14:textId="77777777" w:rsidR="00203A0B" w:rsidRDefault="00203A0B" w:rsidP="001F2B9B">
      <w:pPr>
        <w:pStyle w:val="NormalWeb"/>
        <w:spacing w:before="0" w:beforeAutospacing="0" w:after="0" w:afterAutospacing="0"/>
        <w:rPr>
          <w:rFonts w:asciiTheme="minorHAnsi" w:hAnsiTheme="minorHAnsi" w:cs="Arial"/>
          <w:b/>
          <w:sz w:val="22"/>
          <w:szCs w:val="22"/>
          <w:u w:val="single"/>
        </w:rPr>
      </w:pPr>
    </w:p>
    <w:p w14:paraId="7870CC2B" w14:textId="06B5ACFB" w:rsidR="0095255D" w:rsidRPr="006C0D80" w:rsidRDefault="0095255D" w:rsidP="00A443F9">
      <w:pPr>
        <w:rPr>
          <w:rFonts w:ascii="Arial" w:hAnsi="Arial" w:cs="Arial"/>
          <w:sz w:val="22"/>
          <w:szCs w:val="22"/>
        </w:rPr>
      </w:pPr>
    </w:p>
    <w:p w14:paraId="1A557E17" w14:textId="77777777" w:rsidR="008D11B6" w:rsidRPr="006C0D80" w:rsidRDefault="008D11B6" w:rsidP="00203A0B">
      <w:pPr>
        <w:tabs>
          <w:tab w:val="left" w:pos="4770"/>
        </w:tabs>
        <w:rPr>
          <w:rFonts w:ascii="Arial" w:hAnsi="Arial" w:cs="Arial"/>
          <w:sz w:val="22"/>
          <w:szCs w:val="22"/>
        </w:rPr>
      </w:pPr>
    </w:p>
    <w:p w14:paraId="5CD3048E" w14:textId="77777777" w:rsidR="006C0D80" w:rsidRPr="006C0D80" w:rsidRDefault="006C0D80" w:rsidP="006C0D80">
      <w:pPr>
        <w:rPr>
          <w:rFonts w:ascii="Arial" w:hAnsi="Arial" w:cs="Arial"/>
          <w:color w:val="000000"/>
          <w:sz w:val="22"/>
          <w:szCs w:val="22"/>
        </w:rPr>
      </w:pPr>
      <w:r w:rsidRPr="006C0D80">
        <w:rPr>
          <w:rFonts w:ascii="Arial" w:hAnsi="Arial" w:cs="Arial"/>
          <w:color w:val="000000"/>
          <w:sz w:val="22"/>
          <w:szCs w:val="22"/>
        </w:rPr>
        <w:t>Re:</w:t>
      </w:r>
      <w:r w:rsidRPr="006C0D80">
        <w:rPr>
          <w:rFonts w:ascii="Arial" w:hAnsi="Arial" w:cs="Arial"/>
          <w:color w:val="000000"/>
          <w:sz w:val="22"/>
          <w:szCs w:val="22"/>
        </w:rPr>
        <w:tab/>
        <w:t>Cash Flow Relief Under the Families First Coronavirus Response Act</w:t>
      </w:r>
    </w:p>
    <w:p w14:paraId="2662B160" w14:textId="77777777" w:rsidR="006C0D80" w:rsidRPr="006C0D80" w:rsidRDefault="006C0D80" w:rsidP="006C0D80">
      <w:pPr>
        <w:rPr>
          <w:rFonts w:ascii="Arial" w:hAnsi="Arial" w:cs="Arial"/>
          <w:color w:val="000000"/>
          <w:sz w:val="22"/>
          <w:szCs w:val="22"/>
        </w:rPr>
      </w:pPr>
    </w:p>
    <w:p w14:paraId="333B7808" w14:textId="3DE17AD7" w:rsidR="006C0D80" w:rsidRPr="006C0D80" w:rsidRDefault="006C0D80" w:rsidP="00C201C7">
      <w:pPr>
        <w:spacing w:after="120"/>
        <w:rPr>
          <w:rFonts w:ascii="Arial" w:hAnsi="Arial" w:cs="Arial"/>
          <w:sz w:val="22"/>
          <w:szCs w:val="22"/>
        </w:rPr>
      </w:pPr>
      <w:r w:rsidRPr="006C0D80">
        <w:rPr>
          <w:rFonts w:ascii="Arial" w:hAnsi="Arial" w:cs="Arial"/>
          <w:color w:val="303030"/>
          <w:sz w:val="22"/>
          <w:szCs w:val="22"/>
          <w:shd w:val="clear" w:color="auto" w:fill="FFFFFF"/>
        </w:rPr>
        <w:t xml:space="preserve">Dear </w:t>
      </w:r>
      <w:r>
        <w:rPr>
          <w:rFonts w:ascii="Arial" w:hAnsi="Arial" w:cs="Arial"/>
          <w:color w:val="303030"/>
          <w:sz w:val="22"/>
          <w:szCs w:val="22"/>
          <w:shd w:val="clear" w:color="auto" w:fill="FFFFFF"/>
        </w:rPr>
        <w:t xml:space="preserve">Natural Stone Institute </w:t>
      </w:r>
      <w:r w:rsidRPr="006C0D80">
        <w:rPr>
          <w:rFonts w:ascii="Arial" w:hAnsi="Arial" w:cs="Arial"/>
          <w:color w:val="303030"/>
          <w:sz w:val="22"/>
          <w:szCs w:val="22"/>
          <w:shd w:val="clear" w:color="auto" w:fill="FFFFFF"/>
        </w:rPr>
        <w:t>Member</w:t>
      </w:r>
      <w:r w:rsidR="0053497F">
        <w:rPr>
          <w:rFonts w:ascii="Arial" w:hAnsi="Arial" w:cs="Arial"/>
          <w:color w:val="303030"/>
          <w:sz w:val="22"/>
          <w:szCs w:val="22"/>
          <w:shd w:val="clear" w:color="auto" w:fill="FFFFFF"/>
        </w:rPr>
        <w:t>s</w:t>
      </w:r>
      <w:r w:rsidRPr="006C0D80">
        <w:rPr>
          <w:rFonts w:ascii="Arial" w:hAnsi="Arial" w:cs="Arial"/>
          <w:color w:val="303030"/>
          <w:sz w:val="22"/>
          <w:szCs w:val="22"/>
          <w:shd w:val="clear" w:color="auto" w:fill="FFFFFF"/>
        </w:rPr>
        <w:t>,</w:t>
      </w:r>
    </w:p>
    <w:p w14:paraId="0B78A1AD" w14:textId="42F44B96" w:rsidR="006C0D80" w:rsidRPr="006C0D80" w:rsidRDefault="006C0D80" w:rsidP="00C201C7">
      <w:pPr>
        <w:spacing w:after="120"/>
        <w:rPr>
          <w:rFonts w:ascii="Arial" w:hAnsi="Arial" w:cs="Arial"/>
          <w:color w:val="000000"/>
          <w:sz w:val="22"/>
          <w:szCs w:val="22"/>
        </w:rPr>
      </w:pPr>
      <w:r w:rsidRPr="006C0D80">
        <w:rPr>
          <w:rFonts w:ascii="Arial" w:hAnsi="Arial" w:cs="Arial"/>
          <w:color w:val="000000"/>
          <w:sz w:val="22"/>
          <w:szCs w:val="22"/>
        </w:rPr>
        <w:t xml:space="preserve">A significant issue for small businesses is the impact on cash flow of the requirements under the Families First Coronavirus Response Act that was passed </w:t>
      </w:r>
      <w:r w:rsidR="00416F61">
        <w:rPr>
          <w:rFonts w:ascii="Arial" w:hAnsi="Arial" w:cs="Arial"/>
          <w:color w:val="000000"/>
          <w:sz w:val="22"/>
          <w:szCs w:val="22"/>
        </w:rPr>
        <w:t>during the week of March 17</w:t>
      </w:r>
      <w:r w:rsidRPr="006C0D80">
        <w:rPr>
          <w:rFonts w:ascii="Arial" w:hAnsi="Arial" w:cs="Arial"/>
          <w:color w:val="000000"/>
          <w:sz w:val="22"/>
          <w:szCs w:val="22"/>
        </w:rPr>
        <w:t xml:space="preserve"> to pay sick and family leave. Tax credits to offset the cost of the required paid leave can help only if they are available without delay. Fortunately, they should be immediately available to offset these costs.</w:t>
      </w:r>
    </w:p>
    <w:p w14:paraId="2DDF2A5D" w14:textId="28572DCB" w:rsidR="006C0D80" w:rsidRPr="006C0D80" w:rsidRDefault="006C0D80" w:rsidP="00C201C7">
      <w:pPr>
        <w:spacing w:after="120"/>
        <w:rPr>
          <w:rFonts w:ascii="Arial" w:hAnsi="Arial" w:cs="Arial"/>
          <w:color w:val="000000"/>
          <w:sz w:val="22"/>
          <w:szCs w:val="22"/>
        </w:rPr>
      </w:pPr>
      <w:r w:rsidRPr="006C0D80">
        <w:rPr>
          <w:rFonts w:ascii="Arial" w:hAnsi="Arial" w:cs="Arial"/>
          <w:color w:val="000000"/>
          <w:sz w:val="22"/>
          <w:szCs w:val="22"/>
        </w:rPr>
        <w:t>On Frida</w:t>
      </w:r>
      <w:r w:rsidR="00416F61">
        <w:rPr>
          <w:rFonts w:ascii="Arial" w:hAnsi="Arial" w:cs="Arial"/>
          <w:color w:val="000000"/>
          <w:sz w:val="22"/>
          <w:szCs w:val="22"/>
        </w:rPr>
        <w:t>y, March 20</w:t>
      </w:r>
      <w:bookmarkStart w:id="0" w:name="_GoBack"/>
      <w:bookmarkEnd w:id="0"/>
      <w:r w:rsidRPr="006C0D80">
        <w:rPr>
          <w:rFonts w:ascii="Arial" w:hAnsi="Arial" w:cs="Arial"/>
          <w:color w:val="000000"/>
          <w:sz w:val="22"/>
          <w:szCs w:val="22"/>
        </w:rPr>
        <w:t>, the Treasury Department and the Department of Labor jointly outlined guidance on the new tax credits available to small businesses to cover the costs of the paid sick and family leave requirements under the Families First Coronavirus Response Act that was passed earlier in the week. Both Departments will release the full guidelines next week. To keep members up to date on these developments, a brief summary is provided below.</w:t>
      </w:r>
    </w:p>
    <w:p w14:paraId="6568F452" w14:textId="77777777" w:rsidR="006C0D80" w:rsidRPr="006C0D80" w:rsidRDefault="006C0D80" w:rsidP="00C201C7">
      <w:pPr>
        <w:spacing w:after="120"/>
        <w:rPr>
          <w:rFonts w:ascii="Arial" w:hAnsi="Arial" w:cs="Arial"/>
          <w:b/>
          <w:color w:val="000000"/>
          <w:sz w:val="22"/>
          <w:szCs w:val="22"/>
          <w:u w:val="single"/>
        </w:rPr>
      </w:pPr>
      <w:r w:rsidRPr="006C0D80">
        <w:rPr>
          <w:rFonts w:ascii="Arial" w:hAnsi="Arial" w:cs="Arial"/>
          <w:b/>
          <w:color w:val="000000"/>
          <w:sz w:val="22"/>
          <w:szCs w:val="22"/>
          <w:u w:val="single"/>
        </w:rPr>
        <w:t>Sick and Family Leave Requirements</w:t>
      </w:r>
    </w:p>
    <w:p w14:paraId="0671D305" w14:textId="77777777" w:rsidR="006C0D80" w:rsidRPr="006C0D80" w:rsidRDefault="00AA4554" w:rsidP="00C201C7">
      <w:pPr>
        <w:spacing w:after="120"/>
        <w:rPr>
          <w:rFonts w:ascii="Arial" w:hAnsi="Arial" w:cs="Arial"/>
          <w:bCs/>
          <w:color w:val="000000"/>
          <w:sz w:val="22"/>
          <w:szCs w:val="22"/>
        </w:rPr>
      </w:pPr>
      <w:r>
        <w:rPr>
          <w:rFonts w:ascii="Arial" w:hAnsi="Arial" w:cs="Arial"/>
          <w:color w:val="000000"/>
          <w:sz w:val="22"/>
          <w:szCs w:val="22"/>
        </w:rPr>
        <w:t>C</w:t>
      </w:r>
      <w:r w:rsidR="006C0D80" w:rsidRPr="006C0D80">
        <w:rPr>
          <w:rFonts w:ascii="Arial" w:hAnsi="Arial" w:cs="Arial"/>
          <w:color w:val="000000"/>
          <w:sz w:val="22"/>
          <w:szCs w:val="22"/>
        </w:rPr>
        <w:t>ompanies can get tax credit of up to $511 per day for a total of 10 days for each employee paid sick leave because of a quarantine or isolation order, or the employees show signs of coronavirus. If the employees are paid the family and medical leave because they are providing care to children or individuals who show signs of coronavirus, then companies can get a tax credit of up to $200 per day for up to 10 days. Eligible employers can also receive a refundable childcare leave credit up to $200 per day for as long as 10 weeks</w:t>
      </w:r>
      <w:r w:rsidR="006C0D80" w:rsidRPr="006C0D80">
        <w:rPr>
          <w:rFonts w:ascii="Arial" w:hAnsi="Arial" w:cs="Arial"/>
          <w:bCs/>
          <w:color w:val="000000"/>
          <w:sz w:val="22"/>
          <w:szCs w:val="22"/>
        </w:rPr>
        <w:t xml:space="preserve">. </w:t>
      </w:r>
    </w:p>
    <w:p w14:paraId="57B92980" w14:textId="77777777" w:rsidR="006C0D80" w:rsidRPr="006C0D80" w:rsidRDefault="006C0D80" w:rsidP="00C201C7">
      <w:pPr>
        <w:spacing w:after="120"/>
        <w:rPr>
          <w:rFonts w:ascii="Arial" w:hAnsi="Arial" w:cs="Arial"/>
          <w:bCs/>
          <w:color w:val="000000"/>
          <w:sz w:val="22"/>
          <w:szCs w:val="22"/>
        </w:rPr>
      </w:pPr>
      <w:r w:rsidRPr="006C0D80">
        <w:rPr>
          <w:rFonts w:ascii="Arial" w:hAnsi="Arial" w:cs="Arial"/>
          <w:bCs/>
          <w:color w:val="000000"/>
          <w:sz w:val="22"/>
          <w:szCs w:val="22"/>
        </w:rPr>
        <w:t xml:space="preserve">The guidance outlines issued by </w:t>
      </w:r>
      <w:r w:rsidRPr="006C0D80">
        <w:rPr>
          <w:rFonts w:ascii="Arial" w:hAnsi="Arial" w:cs="Arial"/>
          <w:color w:val="000000"/>
          <w:sz w:val="22"/>
          <w:szCs w:val="22"/>
        </w:rPr>
        <w:t xml:space="preserve">Treasury Department and the Department of Labor set out </w:t>
      </w:r>
      <w:r w:rsidRPr="006C0D80">
        <w:rPr>
          <w:rFonts w:ascii="Arial" w:hAnsi="Arial" w:cs="Arial"/>
          <w:bCs/>
          <w:color w:val="000000"/>
          <w:sz w:val="22"/>
          <w:szCs w:val="22"/>
        </w:rPr>
        <w:t>how these credits can be claimed without delay.</w:t>
      </w:r>
    </w:p>
    <w:p w14:paraId="757A06A9" w14:textId="3DF45318" w:rsidR="006C0D80" w:rsidRPr="006C0D80" w:rsidRDefault="006C0D80" w:rsidP="00C201C7">
      <w:pPr>
        <w:spacing w:after="120"/>
        <w:rPr>
          <w:rFonts w:ascii="Arial" w:hAnsi="Arial" w:cs="Arial"/>
          <w:b/>
          <w:bCs/>
          <w:color w:val="000000"/>
          <w:sz w:val="22"/>
          <w:szCs w:val="22"/>
          <w:u w:val="single"/>
        </w:rPr>
      </w:pPr>
      <w:r w:rsidRPr="006C0D80">
        <w:rPr>
          <w:rFonts w:ascii="Arial" w:hAnsi="Arial" w:cs="Arial"/>
          <w:b/>
          <w:bCs/>
          <w:color w:val="000000"/>
          <w:sz w:val="22"/>
          <w:szCs w:val="22"/>
          <w:u w:val="single"/>
        </w:rPr>
        <w:t>The Key Takeaway</w:t>
      </w:r>
      <w:r w:rsidR="0053497F">
        <w:rPr>
          <w:rFonts w:ascii="Arial" w:hAnsi="Arial" w:cs="Arial"/>
          <w:b/>
          <w:bCs/>
          <w:color w:val="000000"/>
          <w:sz w:val="22"/>
          <w:szCs w:val="22"/>
          <w:u w:val="single"/>
        </w:rPr>
        <w:t>s</w:t>
      </w:r>
    </w:p>
    <w:p w14:paraId="655E8890" w14:textId="6F195092" w:rsidR="006C0D80" w:rsidRPr="006C0D80" w:rsidRDefault="006C0D80" w:rsidP="00C201C7">
      <w:pPr>
        <w:spacing w:after="120"/>
        <w:rPr>
          <w:rFonts w:ascii="Arial" w:hAnsi="Arial" w:cs="Arial"/>
          <w:color w:val="000000"/>
          <w:sz w:val="22"/>
          <w:szCs w:val="22"/>
        </w:rPr>
      </w:pPr>
      <w:r w:rsidRPr="006C0D80">
        <w:rPr>
          <w:rFonts w:ascii="Arial" w:hAnsi="Arial" w:cs="Arial"/>
          <w:b/>
          <w:bCs/>
          <w:color w:val="000000"/>
          <w:sz w:val="22"/>
          <w:szCs w:val="22"/>
          <w:lang w:val="en"/>
        </w:rPr>
        <w:t>Fast Funds</w:t>
      </w:r>
      <w:r w:rsidRPr="006C0D80">
        <w:rPr>
          <w:rFonts w:ascii="Arial" w:hAnsi="Arial" w:cs="Arial"/>
          <w:color w:val="000000"/>
          <w:sz w:val="22"/>
          <w:szCs w:val="22"/>
        </w:rPr>
        <w:t xml:space="preserve">. </w:t>
      </w:r>
      <w:r w:rsidRPr="006C0D80">
        <w:rPr>
          <w:rFonts w:ascii="Arial" w:hAnsi="Arial" w:cs="Arial"/>
          <w:color w:val="000000"/>
          <w:sz w:val="22"/>
          <w:szCs w:val="22"/>
          <w:lang w:val="en"/>
        </w:rPr>
        <w:t>Reimbursement will be quick and easy to obtain</w:t>
      </w:r>
      <w:r w:rsidRPr="006C0D80">
        <w:rPr>
          <w:rFonts w:ascii="Arial" w:hAnsi="Arial" w:cs="Arial"/>
          <w:color w:val="000000"/>
          <w:sz w:val="22"/>
          <w:szCs w:val="22"/>
        </w:rPr>
        <w:t>. The guidelines allow a</w:t>
      </w:r>
      <w:r w:rsidRPr="006C0D80">
        <w:rPr>
          <w:rFonts w:ascii="Arial" w:hAnsi="Arial" w:cs="Arial"/>
          <w:color w:val="000000"/>
          <w:sz w:val="22"/>
          <w:szCs w:val="22"/>
          <w:lang w:val="en"/>
        </w:rPr>
        <w:t xml:space="preserve">n immediate dollar-for-dollar tax offset against payroll taxes for </w:t>
      </w:r>
      <w:r w:rsidR="0053497F" w:rsidRPr="006C0D80">
        <w:rPr>
          <w:rFonts w:ascii="Arial" w:hAnsi="Arial" w:cs="Arial"/>
          <w:color w:val="000000"/>
          <w:sz w:val="22"/>
          <w:szCs w:val="22"/>
        </w:rPr>
        <w:t>businesses</w:t>
      </w:r>
      <w:r w:rsidRPr="006C0D80">
        <w:rPr>
          <w:rFonts w:ascii="Arial" w:hAnsi="Arial" w:cs="Arial"/>
          <w:color w:val="000000"/>
          <w:sz w:val="22"/>
          <w:szCs w:val="22"/>
        </w:rPr>
        <w:t xml:space="preserve"> that pay sick or childcare leave under the new law. As each of you know, businesses are required to withhold from their employees’ paychecks federal income taxes and the employees' share of Social Security and Medicare taxes. The employers then are required to deposit these federal taxes, along with their share of Social Security and Medicare taxes, with the IRS and file quarterly payroll tax returns with the IRS.</w:t>
      </w:r>
    </w:p>
    <w:p w14:paraId="76A9F039" w14:textId="77777777" w:rsidR="006C0D80" w:rsidRPr="006C0D80" w:rsidRDefault="006C0D80" w:rsidP="00C201C7">
      <w:pPr>
        <w:pStyle w:val="ListParagraph"/>
        <w:spacing w:after="120"/>
        <w:ind w:left="0" w:firstLine="0"/>
        <w:rPr>
          <w:rFonts w:ascii="Arial" w:eastAsia="Times New Roman" w:hAnsi="Arial" w:cs="Arial"/>
          <w:color w:val="000000"/>
          <w:sz w:val="22"/>
          <w:szCs w:val="22"/>
        </w:rPr>
      </w:pPr>
      <w:r w:rsidRPr="006C0D80">
        <w:rPr>
          <w:rFonts w:ascii="Arial" w:eastAsia="Times New Roman" w:hAnsi="Arial" w:cs="Arial"/>
          <w:bCs/>
          <w:color w:val="000000"/>
          <w:sz w:val="22"/>
          <w:szCs w:val="22"/>
        </w:rPr>
        <w:t>To ensure the funds are immediately available, businesses</w:t>
      </w:r>
      <w:r w:rsidRPr="006C0D80">
        <w:rPr>
          <w:rFonts w:ascii="Arial" w:eastAsia="Times New Roman" w:hAnsi="Arial" w:cs="Arial"/>
          <w:color w:val="000000"/>
          <w:sz w:val="22"/>
          <w:szCs w:val="22"/>
        </w:rPr>
        <w:t xml:space="preserve"> are allowed to retain those payroll taxes rather than deposit them with the IRS. </w:t>
      </w:r>
      <w:r w:rsidRPr="006C0D80">
        <w:rPr>
          <w:rFonts w:ascii="Arial" w:eastAsia="Times New Roman" w:hAnsi="Arial" w:cs="Arial"/>
          <w:bCs/>
          <w:color w:val="000000"/>
          <w:sz w:val="22"/>
          <w:szCs w:val="22"/>
        </w:rPr>
        <w:t>If the amount of taxes collected is not sufficient to cover the cost of paid leave, employers can seek an expedited payment from the IRS by submitting a streamlined claim form that will be released next week.</w:t>
      </w:r>
    </w:p>
    <w:p w14:paraId="7071BAD5" w14:textId="77777777" w:rsidR="006C0D80" w:rsidRPr="006C0D80" w:rsidRDefault="006C0D80" w:rsidP="00C201C7">
      <w:pPr>
        <w:spacing w:after="120"/>
        <w:rPr>
          <w:rFonts w:ascii="Arial" w:hAnsi="Arial" w:cs="Arial"/>
          <w:color w:val="000000"/>
          <w:sz w:val="22"/>
          <w:szCs w:val="22"/>
        </w:rPr>
      </w:pPr>
      <w:r>
        <w:rPr>
          <w:rFonts w:ascii="Arial" w:hAnsi="Arial" w:cs="Arial"/>
          <w:color w:val="000000"/>
          <w:sz w:val="22"/>
          <w:szCs w:val="22"/>
        </w:rPr>
        <w:t>Consider for example, a stone company</w:t>
      </w:r>
      <w:r w:rsidRPr="006C0D80">
        <w:rPr>
          <w:rFonts w:ascii="Arial" w:hAnsi="Arial" w:cs="Arial"/>
          <w:color w:val="000000"/>
          <w:sz w:val="22"/>
          <w:szCs w:val="22"/>
        </w:rPr>
        <w:t xml:space="preserve"> that sends 10 warehouse employees home because the local government ordered the business shut. The </w:t>
      </w:r>
      <w:r>
        <w:rPr>
          <w:rFonts w:ascii="Arial" w:hAnsi="Arial" w:cs="Arial"/>
          <w:color w:val="000000"/>
          <w:sz w:val="22"/>
          <w:szCs w:val="22"/>
        </w:rPr>
        <w:t>company</w:t>
      </w:r>
      <w:r w:rsidRPr="006C0D80">
        <w:rPr>
          <w:rFonts w:ascii="Arial" w:hAnsi="Arial" w:cs="Arial"/>
          <w:color w:val="000000"/>
          <w:sz w:val="22"/>
          <w:szCs w:val="22"/>
        </w:rPr>
        <w:t xml:space="preserve"> has its other employees work remotely from home. The </w:t>
      </w:r>
      <w:r>
        <w:rPr>
          <w:rFonts w:ascii="Arial" w:hAnsi="Arial" w:cs="Arial"/>
          <w:color w:val="000000"/>
          <w:sz w:val="22"/>
          <w:szCs w:val="22"/>
        </w:rPr>
        <w:t>company</w:t>
      </w:r>
      <w:r w:rsidRPr="006C0D80">
        <w:rPr>
          <w:rFonts w:ascii="Arial" w:hAnsi="Arial" w:cs="Arial"/>
          <w:color w:val="000000"/>
          <w:sz w:val="22"/>
          <w:szCs w:val="22"/>
        </w:rPr>
        <w:t xml:space="preserve"> pays $8,000 in sick or family leave to its 10 warehouse workers. The payroll tax for both the warehouse employees and its remote working employees is $10,000. The </w:t>
      </w:r>
      <w:r>
        <w:rPr>
          <w:rFonts w:ascii="Arial" w:hAnsi="Arial" w:cs="Arial"/>
          <w:color w:val="000000"/>
          <w:sz w:val="22"/>
          <w:szCs w:val="22"/>
        </w:rPr>
        <w:t>company</w:t>
      </w:r>
      <w:r w:rsidRPr="006C0D80">
        <w:rPr>
          <w:rFonts w:ascii="Arial" w:hAnsi="Arial" w:cs="Arial"/>
          <w:color w:val="000000"/>
          <w:sz w:val="22"/>
          <w:szCs w:val="22"/>
        </w:rPr>
        <w:t xml:space="preserve"> can keep $8,000 of the $10,000 of taxes it was going to deposit for making qualified leave payments. The employer would only be required under the law to deposit the remaining $2,000 on its next regular deposit date. If the payroll taxes were only $6,000, then the </w:t>
      </w:r>
      <w:r>
        <w:rPr>
          <w:rFonts w:ascii="Arial" w:hAnsi="Arial" w:cs="Arial"/>
          <w:color w:val="000000"/>
          <w:sz w:val="22"/>
          <w:szCs w:val="22"/>
        </w:rPr>
        <w:t>company</w:t>
      </w:r>
      <w:r w:rsidRPr="006C0D80">
        <w:rPr>
          <w:rFonts w:ascii="Arial" w:hAnsi="Arial" w:cs="Arial"/>
          <w:color w:val="000000"/>
          <w:sz w:val="22"/>
          <w:szCs w:val="22"/>
        </w:rPr>
        <w:t xml:space="preserve"> could file a request for an accelerated credit for the remaining $2,000.</w:t>
      </w:r>
    </w:p>
    <w:p w14:paraId="56196E98" w14:textId="77777777" w:rsidR="00C201C7" w:rsidRPr="00C201C7" w:rsidRDefault="006C0D80" w:rsidP="00C201C7">
      <w:pPr>
        <w:pStyle w:val="ListParagraph"/>
        <w:numPr>
          <w:ilvl w:val="0"/>
          <w:numId w:val="2"/>
        </w:numPr>
        <w:spacing w:after="120"/>
        <w:ind w:left="360"/>
        <w:contextualSpacing w:val="0"/>
        <w:rPr>
          <w:rFonts w:ascii="Arial" w:hAnsi="Arial" w:cs="Arial"/>
          <w:color w:val="000000"/>
          <w:sz w:val="22"/>
          <w:szCs w:val="22"/>
        </w:rPr>
      </w:pPr>
      <w:r w:rsidRPr="006C0D80">
        <w:rPr>
          <w:rFonts w:ascii="Arial" w:hAnsi="Arial" w:cs="Arial"/>
          <w:b/>
          <w:color w:val="000000"/>
          <w:sz w:val="22"/>
          <w:szCs w:val="22"/>
        </w:rPr>
        <w:t>Payroll Tax</w:t>
      </w:r>
      <w:r w:rsidRPr="006C0D80">
        <w:rPr>
          <w:rFonts w:ascii="Arial" w:hAnsi="Arial" w:cs="Arial"/>
          <w:color w:val="000000"/>
          <w:sz w:val="22"/>
          <w:szCs w:val="22"/>
        </w:rPr>
        <w:t xml:space="preserve">. </w:t>
      </w:r>
      <w:r w:rsidRPr="006C0D80">
        <w:rPr>
          <w:rFonts w:ascii="Arial" w:hAnsi="Arial" w:cs="Arial"/>
          <w:color w:val="000000"/>
          <w:sz w:val="22"/>
          <w:szCs w:val="22"/>
          <w:lang w:val="en"/>
        </w:rPr>
        <w:t>Employers face no payroll tax liability, so they do not have to remit their portion of the tax. These amounts can be included in the tax credit.</w:t>
      </w:r>
    </w:p>
    <w:p w14:paraId="28B4A8BE" w14:textId="77777777" w:rsidR="00C201C7" w:rsidRPr="00C201C7" w:rsidRDefault="006C0D80" w:rsidP="00C201C7">
      <w:pPr>
        <w:pStyle w:val="ListParagraph"/>
        <w:numPr>
          <w:ilvl w:val="0"/>
          <w:numId w:val="2"/>
        </w:numPr>
        <w:spacing w:after="120"/>
        <w:ind w:left="360"/>
        <w:contextualSpacing w:val="0"/>
        <w:rPr>
          <w:rFonts w:ascii="Arial" w:hAnsi="Arial" w:cs="Arial"/>
          <w:color w:val="000000"/>
          <w:sz w:val="22"/>
          <w:szCs w:val="22"/>
        </w:rPr>
      </w:pPr>
      <w:r w:rsidRPr="00C201C7">
        <w:rPr>
          <w:rFonts w:ascii="Arial" w:hAnsi="Arial" w:cs="Arial"/>
          <w:b/>
          <w:color w:val="000000"/>
          <w:sz w:val="22"/>
          <w:szCs w:val="22"/>
        </w:rPr>
        <w:lastRenderedPageBreak/>
        <w:t>Healthcare Costs</w:t>
      </w:r>
      <w:r w:rsidRPr="00C201C7">
        <w:rPr>
          <w:rFonts w:ascii="Arial" w:hAnsi="Arial" w:cs="Arial"/>
          <w:color w:val="000000"/>
          <w:sz w:val="22"/>
          <w:szCs w:val="22"/>
        </w:rPr>
        <w:t xml:space="preserve">. The tax credit includes payment for </w:t>
      </w:r>
      <w:r w:rsidRPr="00C201C7">
        <w:rPr>
          <w:rFonts w:ascii="Arial" w:hAnsi="Arial" w:cs="Arial"/>
          <w:color w:val="000000"/>
          <w:sz w:val="22"/>
          <w:szCs w:val="22"/>
          <w:lang w:val="en"/>
        </w:rPr>
        <w:t>health insurance.</w:t>
      </w:r>
    </w:p>
    <w:p w14:paraId="35BA4D9A" w14:textId="77777777" w:rsidR="00C201C7" w:rsidRDefault="006C0D80" w:rsidP="00C201C7">
      <w:pPr>
        <w:pStyle w:val="ListParagraph"/>
        <w:numPr>
          <w:ilvl w:val="0"/>
          <w:numId w:val="2"/>
        </w:numPr>
        <w:spacing w:after="120"/>
        <w:ind w:left="360"/>
        <w:contextualSpacing w:val="0"/>
        <w:rPr>
          <w:rFonts w:ascii="Arial" w:hAnsi="Arial" w:cs="Arial"/>
          <w:color w:val="000000"/>
          <w:sz w:val="22"/>
          <w:szCs w:val="22"/>
        </w:rPr>
      </w:pPr>
      <w:r w:rsidRPr="00C201C7">
        <w:rPr>
          <w:rFonts w:ascii="Arial" w:hAnsi="Arial" w:cs="Arial"/>
          <w:b/>
          <w:color w:val="000000"/>
          <w:sz w:val="22"/>
          <w:szCs w:val="22"/>
        </w:rPr>
        <w:t>Self-Employed</w:t>
      </w:r>
      <w:r w:rsidRPr="00C201C7">
        <w:rPr>
          <w:rFonts w:ascii="Arial" w:hAnsi="Arial" w:cs="Arial"/>
          <w:color w:val="000000"/>
          <w:sz w:val="22"/>
          <w:szCs w:val="22"/>
        </w:rPr>
        <w:t>. S</w:t>
      </w:r>
      <w:r w:rsidRPr="00C201C7">
        <w:rPr>
          <w:rFonts w:ascii="Arial" w:hAnsi="Arial" w:cs="Arial"/>
          <w:color w:val="000000"/>
          <w:sz w:val="22"/>
          <w:szCs w:val="22"/>
          <w:lang w:val="en"/>
        </w:rPr>
        <w:t xml:space="preserve">elf-employed individuals can receive an equivalent credit for </w:t>
      </w:r>
      <w:r w:rsidRPr="00C201C7">
        <w:rPr>
          <w:rFonts w:ascii="Arial" w:hAnsi="Arial" w:cs="Arial"/>
          <w:color w:val="000000"/>
          <w:sz w:val="22"/>
          <w:szCs w:val="22"/>
        </w:rPr>
        <w:t xml:space="preserve">child care leave and sick leave. The credit </w:t>
      </w:r>
      <w:r w:rsidRPr="00C201C7">
        <w:rPr>
          <w:rFonts w:ascii="Arial" w:hAnsi="Arial" w:cs="Arial"/>
          <w:color w:val="000000"/>
          <w:sz w:val="22"/>
          <w:szCs w:val="22"/>
          <w:lang w:val="en"/>
        </w:rPr>
        <w:t>can be</w:t>
      </w:r>
      <w:r w:rsidRPr="00C201C7">
        <w:rPr>
          <w:rFonts w:ascii="Arial" w:hAnsi="Arial" w:cs="Arial"/>
          <w:color w:val="000000"/>
          <w:sz w:val="22"/>
          <w:szCs w:val="22"/>
        </w:rPr>
        <w:t xml:space="preserve"> can be used to reduce estimated tax payments and in year-end tax returns.</w:t>
      </w:r>
    </w:p>
    <w:p w14:paraId="473FD8D9" w14:textId="77777777" w:rsidR="00C201C7" w:rsidRDefault="006C0D80" w:rsidP="00C201C7">
      <w:pPr>
        <w:pStyle w:val="ListParagraph"/>
        <w:numPr>
          <w:ilvl w:val="0"/>
          <w:numId w:val="2"/>
        </w:numPr>
        <w:spacing w:after="120"/>
        <w:ind w:left="360"/>
        <w:contextualSpacing w:val="0"/>
        <w:rPr>
          <w:rFonts w:ascii="Arial" w:hAnsi="Arial" w:cs="Arial"/>
          <w:color w:val="000000"/>
          <w:sz w:val="22"/>
          <w:szCs w:val="22"/>
        </w:rPr>
      </w:pPr>
      <w:r w:rsidRPr="00C201C7">
        <w:rPr>
          <w:rFonts w:ascii="Arial" w:hAnsi="Arial" w:cs="Arial"/>
          <w:b/>
          <w:color w:val="000000"/>
          <w:sz w:val="22"/>
          <w:szCs w:val="22"/>
        </w:rPr>
        <w:t>Grace Period</w:t>
      </w:r>
      <w:r w:rsidRPr="00C201C7">
        <w:rPr>
          <w:rFonts w:ascii="Arial" w:hAnsi="Arial" w:cs="Arial"/>
          <w:color w:val="000000"/>
          <w:sz w:val="22"/>
          <w:szCs w:val="22"/>
        </w:rPr>
        <w:t xml:space="preserve">. There will be a </w:t>
      </w:r>
      <w:r w:rsidRPr="00C201C7">
        <w:rPr>
          <w:rFonts w:ascii="Arial" w:hAnsi="Arial" w:cs="Arial"/>
          <w:color w:val="000000"/>
          <w:sz w:val="22"/>
          <w:szCs w:val="22"/>
          <w:lang w:val="en"/>
        </w:rPr>
        <w:t xml:space="preserve">30-day non-enforcement period. </w:t>
      </w:r>
      <w:r w:rsidRPr="00C201C7">
        <w:rPr>
          <w:rFonts w:ascii="Arial" w:hAnsi="Arial" w:cs="Arial"/>
          <w:color w:val="000000"/>
          <w:sz w:val="22"/>
          <w:szCs w:val="22"/>
        </w:rPr>
        <w:t>Under this policy, Department of Labor will not bring an enforcement action against any employer for violations of the new Act so long as the employer has acted reasonably and in good faith to comply with the Act. Labor will instead focus on compliance assistance during the 30-day period.</w:t>
      </w:r>
    </w:p>
    <w:p w14:paraId="776ED6BE" w14:textId="77777777" w:rsidR="006C0D80" w:rsidRPr="00C201C7" w:rsidRDefault="006C0D80" w:rsidP="00C201C7">
      <w:pPr>
        <w:pStyle w:val="ListParagraph"/>
        <w:numPr>
          <w:ilvl w:val="0"/>
          <w:numId w:val="2"/>
        </w:numPr>
        <w:spacing w:after="120"/>
        <w:ind w:left="360"/>
        <w:contextualSpacing w:val="0"/>
        <w:rPr>
          <w:rFonts w:ascii="Arial" w:hAnsi="Arial" w:cs="Arial"/>
          <w:color w:val="000000"/>
          <w:sz w:val="22"/>
          <w:szCs w:val="22"/>
        </w:rPr>
      </w:pPr>
      <w:r w:rsidRPr="00C201C7">
        <w:rPr>
          <w:rFonts w:ascii="Arial" w:hAnsi="Arial" w:cs="Arial"/>
          <w:b/>
          <w:bCs/>
          <w:color w:val="000000"/>
          <w:sz w:val="22"/>
          <w:szCs w:val="22"/>
          <w:lang w:val="en"/>
        </w:rPr>
        <w:t>Small Business Protection</w:t>
      </w:r>
      <w:r w:rsidRPr="00C201C7">
        <w:rPr>
          <w:rFonts w:ascii="Arial" w:hAnsi="Arial" w:cs="Arial"/>
          <w:color w:val="000000"/>
          <w:sz w:val="22"/>
          <w:szCs w:val="22"/>
        </w:rPr>
        <w:t xml:space="preserve">. Employers with fewer than 50 employees are eligible for an exemption from the requirements to provide leave to care for a child whose school is </w:t>
      </w:r>
      <w:r w:rsidR="00C201C7">
        <w:rPr>
          <w:rFonts w:ascii="Arial" w:hAnsi="Arial" w:cs="Arial"/>
          <w:color w:val="000000"/>
          <w:sz w:val="22"/>
          <w:szCs w:val="22"/>
        </w:rPr>
        <w:t>c</w:t>
      </w:r>
      <w:r w:rsidRPr="00C201C7">
        <w:rPr>
          <w:rFonts w:ascii="Arial" w:hAnsi="Arial" w:cs="Arial"/>
          <w:color w:val="000000"/>
          <w:sz w:val="22"/>
          <w:szCs w:val="22"/>
        </w:rPr>
        <w:t>losed or child care is unavailable in cases where the viability of the business is threatened.</w:t>
      </w:r>
    </w:p>
    <w:p w14:paraId="72313606" w14:textId="77777777" w:rsidR="006C0D80" w:rsidRPr="006C0D80" w:rsidRDefault="006C0D80" w:rsidP="00C201C7">
      <w:pPr>
        <w:pStyle w:val="ListParagraph"/>
        <w:spacing w:after="120"/>
        <w:ind w:left="0" w:firstLine="0"/>
        <w:rPr>
          <w:rFonts w:ascii="Arial" w:eastAsia="Times New Roman" w:hAnsi="Arial" w:cs="Arial"/>
          <w:color w:val="000000"/>
          <w:sz w:val="22"/>
          <w:szCs w:val="22"/>
        </w:rPr>
      </w:pPr>
      <w:r w:rsidRPr="006C0D80">
        <w:rPr>
          <w:rFonts w:ascii="Arial" w:eastAsia="Times New Roman" w:hAnsi="Arial" w:cs="Arial"/>
          <w:color w:val="000000"/>
          <w:sz w:val="22"/>
          <w:szCs w:val="22"/>
        </w:rPr>
        <w:t>The combination of the grace period and the possibility of an exemption may provide time for companies to deal with the cash flow problems.</w:t>
      </w:r>
    </w:p>
    <w:p w14:paraId="64F27FE2" w14:textId="2A7B3780" w:rsidR="00C201C7" w:rsidRDefault="006C0D80" w:rsidP="00C201C7">
      <w:pPr>
        <w:spacing w:after="120"/>
        <w:rPr>
          <w:rFonts w:ascii="Arial" w:hAnsi="Arial" w:cs="Arial"/>
          <w:sz w:val="22"/>
          <w:szCs w:val="22"/>
        </w:rPr>
      </w:pPr>
      <w:r w:rsidRPr="006C0D80">
        <w:rPr>
          <w:rFonts w:ascii="Arial" w:hAnsi="Arial" w:cs="Arial"/>
          <w:color w:val="000000"/>
          <w:sz w:val="22"/>
          <w:szCs w:val="22"/>
        </w:rPr>
        <w:t xml:space="preserve">The guidelines are scheduled to be release next week and </w:t>
      </w:r>
      <w:r w:rsidR="0053497F">
        <w:rPr>
          <w:rFonts w:ascii="Arial" w:hAnsi="Arial" w:cs="Arial"/>
          <w:color w:val="303030"/>
          <w:sz w:val="22"/>
          <w:szCs w:val="22"/>
          <w:shd w:val="clear" w:color="auto" w:fill="FFFFFF"/>
        </w:rPr>
        <w:t>the Natural Stone Institute</w:t>
      </w:r>
      <w:r w:rsidRPr="006C0D80">
        <w:rPr>
          <w:rFonts w:ascii="Arial" w:hAnsi="Arial" w:cs="Arial"/>
          <w:color w:val="303030"/>
          <w:sz w:val="22"/>
          <w:szCs w:val="22"/>
          <w:shd w:val="clear" w:color="auto" w:fill="FFFFFF"/>
        </w:rPr>
        <w:t xml:space="preserve"> will keep members informed of developments. </w:t>
      </w:r>
      <w:r w:rsidR="00883833">
        <w:rPr>
          <w:rFonts w:ascii="Arial" w:hAnsi="Arial" w:cs="Arial"/>
          <w:color w:val="303030"/>
          <w:sz w:val="22"/>
          <w:szCs w:val="22"/>
          <w:shd w:val="clear" w:color="auto" w:fill="FFFFFF"/>
        </w:rPr>
        <w:t>We will also continue to provide h</w:t>
      </w:r>
      <w:r w:rsidR="00C201C7">
        <w:rPr>
          <w:rFonts w:ascii="Arial" w:hAnsi="Arial" w:cs="Arial"/>
          <w:sz w:val="22"/>
          <w:szCs w:val="22"/>
        </w:rPr>
        <w:t xml:space="preserve">elpful links on </w:t>
      </w:r>
      <w:hyperlink r:id="rId8" w:history="1">
        <w:r w:rsidR="00C201C7" w:rsidRPr="0053497F">
          <w:rPr>
            <w:rStyle w:val="Hyperlink"/>
            <w:rFonts w:ascii="Arial" w:hAnsi="Arial" w:cs="Arial"/>
            <w:sz w:val="22"/>
            <w:szCs w:val="22"/>
          </w:rPr>
          <w:t>ou</w:t>
        </w:r>
        <w:r w:rsidR="0053497F" w:rsidRPr="0053497F">
          <w:rPr>
            <w:rStyle w:val="Hyperlink"/>
            <w:rFonts w:ascii="Arial" w:hAnsi="Arial" w:cs="Arial"/>
            <w:sz w:val="22"/>
            <w:szCs w:val="22"/>
          </w:rPr>
          <w:t>r website</w:t>
        </w:r>
      </w:hyperlink>
      <w:r w:rsidR="0053497F">
        <w:rPr>
          <w:rFonts w:ascii="Arial" w:hAnsi="Arial" w:cs="Arial"/>
          <w:sz w:val="22"/>
          <w:szCs w:val="22"/>
        </w:rPr>
        <w:t xml:space="preserve"> </w:t>
      </w:r>
      <w:r w:rsidR="00883833">
        <w:rPr>
          <w:rFonts w:ascii="Arial" w:hAnsi="Arial" w:cs="Arial"/>
          <w:sz w:val="22"/>
          <w:szCs w:val="22"/>
        </w:rPr>
        <w:t>including:</w:t>
      </w:r>
    </w:p>
    <w:p w14:paraId="4620FD1C" w14:textId="77777777" w:rsidR="006C0D80" w:rsidRDefault="00883833" w:rsidP="00C201C7">
      <w:pPr>
        <w:pStyle w:val="ListParagraph"/>
        <w:numPr>
          <w:ilvl w:val="0"/>
          <w:numId w:val="3"/>
        </w:numPr>
        <w:spacing w:after="120"/>
        <w:rPr>
          <w:rFonts w:ascii="Arial" w:hAnsi="Arial" w:cs="Arial"/>
          <w:sz w:val="22"/>
          <w:szCs w:val="22"/>
        </w:rPr>
      </w:pPr>
      <w:r>
        <w:rPr>
          <w:rFonts w:ascii="Arial" w:hAnsi="Arial" w:cs="Arial"/>
          <w:b/>
          <w:sz w:val="22"/>
          <w:szCs w:val="22"/>
        </w:rPr>
        <w:t>Information for Stone Companies from U.S. Government Agencies</w:t>
      </w:r>
      <w:r w:rsidR="00C201C7" w:rsidRPr="00595CD6">
        <w:rPr>
          <w:rFonts w:ascii="Arial" w:hAnsi="Arial" w:cs="Arial"/>
          <w:b/>
          <w:sz w:val="22"/>
          <w:szCs w:val="22"/>
        </w:rPr>
        <w:t>:</w:t>
      </w:r>
      <w:r w:rsidR="00C201C7" w:rsidRPr="00C201C7">
        <w:rPr>
          <w:rFonts w:ascii="Arial" w:hAnsi="Arial" w:cs="Arial"/>
          <w:sz w:val="22"/>
          <w:szCs w:val="22"/>
        </w:rPr>
        <w:t xml:space="preserve"> </w:t>
      </w:r>
      <w:r w:rsidR="00C201C7">
        <w:rPr>
          <w:rFonts w:ascii="Arial" w:hAnsi="Arial" w:cs="Arial"/>
          <w:sz w:val="22"/>
          <w:szCs w:val="22"/>
        </w:rPr>
        <w:t xml:space="preserve">COVID-19 </w:t>
      </w:r>
      <w:r w:rsidR="00C201C7" w:rsidRPr="00C201C7">
        <w:rPr>
          <w:rFonts w:ascii="Arial" w:hAnsi="Arial" w:cs="Arial"/>
          <w:sz w:val="22"/>
          <w:szCs w:val="22"/>
        </w:rPr>
        <w:t>information from OSHA, Department of Labor, Small Business Administration</w:t>
      </w:r>
      <w:r w:rsidR="00595CD6">
        <w:rPr>
          <w:rFonts w:ascii="Arial" w:hAnsi="Arial" w:cs="Arial"/>
          <w:sz w:val="22"/>
          <w:szCs w:val="22"/>
        </w:rPr>
        <w:t xml:space="preserve"> (disaster assistance)</w:t>
      </w:r>
      <w:r w:rsidR="00C201C7" w:rsidRPr="00C201C7">
        <w:rPr>
          <w:rFonts w:ascii="Arial" w:hAnsi="Arial" w:cs="Arial"/>
          <w:sz w:val="22"/>
          <w:szCs w:val="22"/>
        </w:rPr>
        <w:t xml:space="preserve">, </w:t>
      </w:r>
      <w:r w:rsidR="00595CD6">
        <w:rPr>
          <w:rFonts w:ascii="Arial" w:hAnsi="Arial" w:cs="Arial"/>
          <w:sz w:val="22"/>
          <w:szCs w:val="22"/>
        </w:rPr>
        <w:t xml:space="preserve">and </w:t>
      </w:r>
      <w:r w:rsidR="00C201C7" w:rsidRPr="00C201C7">
        <w:rPr>
          <w:rFonts w:ascii="Arial" w:hAnsi="Arial" w:cs="Arial"/>
          <w:sz w:val="22"/>
          <w:szCs w:val="22"/>
        </w:rPr>
        <w:t>U.S. Chamber of Commerce.</w:t>
      </w:r>
    </w:p>
    <w:p w14:paraId="7A9AE63F" w14:textId="77777777" w:rsidR="00595CD6" w:rsidRDefault="00C201C7" w:rsidP="00595CD6">
      <w:pPr>
        <w:pStyle w:val="ListParagraph"/>
        <w:numPr>
          <w:ilvl w:val="0"/>
          <w:numId w:val="3"/>
        </w:numPr>
        <w:spacing w:after="120"/>
        <w:rPr>
          <w:rFonts w:ascii="Arial" w:hAnsi="Arial" w:cs="Arial"/>
          <w:sz w:val="22"/>
          <w:szCs w:val="22"/>
        </w:rPr>
      </w:pPr>
      <w:r w:rsidRPr="00595CD6">
        <w:rPr>
          <w:rFonts w:ascii="Arial" w:hAnsi="Arial" w:cs="Arial"/>
          <w:b/>
          <w:sz w:val="22"/>
          <w:szCs w:val="22"/>
        </w:rPr>
        <w:t>For Homeowners/Employees</w:t>
      </w:r>
      <w:r>
        <w:rPr>
          <w:rFonts w:ascii="Arial" w:hAnsi="Arial" w:cs="Arial"/>
          <w:sz w:val="22"/>
          <w:szCs w:val="22"/>
        </w:rPr>
        <w:t xml:space="preserve">: </w:t>
      </w:r>
      <w:r w:rsidR="00595CD6">
        <w:rPr>
          <w:rFonts w:ascii="Arial" w:hAnsi="Arial" w:cs="Arial"/>
          <w:sz w:val="22"/>
          <w:szCs w:val="22"/>
        </w:rPr>
        <w:t xml:space="preserve">Recommendations from the </w:t>
      </w:r>
      <w:r>
        <w:rPr>
          <w:rFonts w:ascii="Arial" w:hAnsi="Arial" w:cs="Arial"/>
          <w:sz w:val="22"/>
          <w:szCs w:val="22"/>
        </w:rPr>
        <w:t>C</w:t>
      </w:r>
      <w:r w:rsidR="00595CD6">
        <w:rPr>
          <w:rFonts w:ascii="Arial" w:hAnsi="Arial" w:cs="Arial"/>
          <w:sz w:val="22"/>
          <w:szCs w:val="22"/>
        </w:rPr>
        <w:t>enter for Disease Control (C</w:t>
      </w:r>
      <w:r>
        <w:rPr>
          <w:rFonts w:ascii="Arial" w:hAnsi="Arial" w:cs="Arial"/>
          <w:sz w:val="22"/>
          <w:szCs w:val="22"/>
        </w:rPr>
        <w:t>DC</w:t>
      </w:r>
      <w:r w:rsidR="00595CD6">
        <w:rPr>
          <w:rFonts w:ascii="Arial" w:hAnsi="Arial" w:cs="Arial"/>
          <w:sz w:val="22"/>
          <w:szCs w:val="22"/>
        </w:rPr>
        <w:t>) and tips/checklists from Schechner Lifson Corporation</w:t>
      </w:r>
      <w:r w:rsidR="00883833">
        <w:rPr>
          <w:rFonts w:ascii="Arial" w:hAnsi="Arial" w:cs="Arial"/>
          <w:sz w:val="22"/>
          <w:szCs w:val="22"/>
        </w:rPr>
        <w:t xml:space="preserve"> on topics including cyber criminals, mental well-being during a quarantine, and keeping employees healthy/informed/protected)</w:t>
      </w:r>
      <w:r w:rsidR="00595CD6">
        <w:rPr>
          <w:rFonts w:ascii="Arial" w:hAnsi="Arial" w:cs="Arial"/>
          <w:sz w:val="22"/>
          <w:szCs w:val="22"/>
        </w:rPr>
        <w:t>.</w:t>
      </w:r>
    </w:p>
    <w:p w14:paraId="237FFF3E" w14:textId="381CF59A" w:rsidR="00C201C7" w:rsidRPr="00595CD6" w:rsidRDefault="00595CD6" w:rsidP="00595CD6">
      <w:pPr>
        <w:pStyle w:val="ListParagraph"/>
        <w:numPr>
          <w:ilvl w:val="0"/>
          <w:numId w:val="3"/>
        </w:numPr>
        <w:spacing w:after="120"/>
        <w:rPr>
          <w:rFonts w:ascii="Arial" w:hAnsi="Arial" w:cs="Arial"/>
          <w:sz w:val="22"/>
          <w:szCs w:val="22"/>
        </w:rPr>
      </w:pPr>
      <w:r w:rsidRPr="00595CD6">
        <w:rPr>
          <w:rFonts w:ascii="Arial" w:hAnsi="Arial" w:cs="Arial"/>
          <w:b/>
          <w:sz w:val="22"/>
          <w:szCs w:val="22"/>
        </w:rPr>
        <w:t>Event Updates</w:t>
      </w:r>
      <w:r>
        <w:rPr>
          <w:rFonts w:ascii="Arial" w:hAnsi="Arial" w:cs="Arial"/>
          <w:sz w:val="22"/>
          <w:szCs w:val="22"/>
        </w:rPr>
        <w:t xml:space="preserve">:  </w:t>
      </w:r>
      <w:r w:rsidR="0053497F">
        <w:rPr>
          <w:rFonts w:ascii="Arial" w:hAnsi="Arial" w:cs="Arial"/>
          <w:sz w:val="22"/>
          <w:szCs w:val="22"/>
        </w:rPr>
        <w:t xml:space="preserve">Information on </w:t>
      </w:r>
      <w:r>
        <w:rPr>
          <w:rFonts w:ascii="Arial" w:hAnsi="Arial" w:cs="Arial"/>
          <w:sz w:val="22"/>
          <w:szCs w:val="22"/>
        </w:rPr>
        <w:t>cancelled and/or postponed events.</w:t>
      </w:r>
    </w:p>
    <w:p w14:paraId="006FA6D9" w14:textId="19BB34B3" w:rsidR="00595CD6" w:rsidRPr="00C201C7" w:rsidRDefault="0053497F" w:rsidP="00C201C7">
      <w:pPr>
        <w:spacing w:after="120"/>
        <w:rPr>
          <w:rFonts w:ascii="Arial" w:hAnsi="Arial" w:cs="Arial"/>
          <w:sz w:val="22"/>
          <w:szCs w:val="22"/>
        </w:rPr>
      </w:pPr>
      <w:r>
        <w:rPr>
          <w:rFonts w:ascii="Arial" w:hAnsi="Arial" w:cs="Arial"/>
          <w:sz w:val="22"/>
          <w:szCs w:val="22"/>
        </w:rPr>
        <w:t xml:space="preserve">We look forward to sharing more information with you soon. As always, stay safe, stay engaged, and please don’t hesitate to reach out with any questions. </w:t>
      </w:r>
    </w:p>
    <w:p w14:paraId="56608495" w14:textId="77777777" w:rsidR="00203A0B" w:rsidRPr="006C0D80" w:rsidRDefault="00203A0B" w:rsidP="00203A0B">
      <w:pPr>
        <w:tabs>
          <w:tab w:val="left" w:pos="4770"/>
        </w:tabs>
        <w:rPr>
          <w:rFonts w:ascii="Arial" w:hAnsi="Arial" w:cs="Arial"/>
          <w:sz w:val="22"/>
          <w:szCs w:val="22"/>
        </w:rPr>
      </w:pPr>
      <w:r w:rsidRPr="006C0D80">
        <w:rPr>
          <w:rFonts w:ascii="Arial" w:hAnsi="Arial" w:cs="Arial"/>
          <w:sz w:val="22"/>
          <w:szCs w:val="22"/>
        </w:rPr>
        <w:t>Sincerely,</w:t>
      </w:r>
    </w:p>
    <w:p w14:paraId="4FCB3959" w14:textId="77777777" w:rsidR="00203A0B" w:rsidRPr="006C0D80" w:rsidRDefault="00203A0B" w:rsidP="00203A0B">
      <w:pPr>
        <w:tabs>
          <w:tab w:val="left" w:pos="4770"/>
        </w:tabs>
        <w:rPr>
          <w:rFonts w:ascii="Arial" w:hAnsi="Arial" w:cs="Arial"/>
          <w:sz w:val="22"/>
          <w:szCs w:val="22"/>
        </w:rPr>
      </w:pPr>
    </w:p>
    <w:p w14:paraId="4263DBE1" w14:textId="77777777" w:rsidR="00203A0B" w:rsidRPr="006C0D80" w:rsidRDefault="00203A0B" w:rsidP="00203A0B">
      <w:pPr>
        <w:tabs>
          <w:tab w:val="left" w:pos="4770"/>
        </w:tabs>
        <w:rPr>
          <w:rFonts w:ascii="Arial" w:hAnsi="Arial" w:cs="Arial"/>
          <w:sz w:val="22"/>
          <w:szCs w:val="22"/>
        </w:rPr>
      </w:pPr>
      <w:r w:rsidRPr="006C0D80">
        <w:rPr>
          <w:rFonts w:ascii="Arial" w:hAnsi="Arial" w:cs="Arial"/>
          <w:noProof/>
          <w:sz w:val="22"/>
          <w:szCs w:val="22"/>
          <w:lang w:val="en-US" w:eastAsia="en-US"/>
        </w:rPr>
        <w:drawing>
          <wp:inline distT="0" distB="0" distL="0" distR="0" wp14:anchorId="53971664" wp14:editId="6642CB8C">
            <wp:extent cx="800100" cy="52970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m Hieb.jpg"/>
                    <pic:cNvPicPr/>
                  </pic:nvPicPr>
                  <pic:blipFill rotWithShape="1">
                    <a:blip r:embed="rId9" cstate="print">
                      <a:extLst>
                        <a:ext uri="{28A0092B-C50C-407E-A947-70E740481C1C}">
                          <a14:useLocalDpi xmlns:a14="http://schemas.microsoft.com/office/drawing/2010/main" val="0"/>
                        </a:ext>
                      </a:extLst>
                    </a:blip>
                    <a:srcRect l="19129" t="15458" r="15724" b="10655"/>
                    <a:stretch/>
                  </pic:blipFill>
                  <pic:spPr bwMode="auto">
                    <a:xfrm>
                      <a:off x="0" y="0"/>
                      <a:ext cx="820257" cy="543051"/>
                    </a:xfrm>
                    <a:prstGeom prst="rect">
                      <a:avLst/>
                    </a:prstGeom>
                    <a:ln>
                      <a:noFill/>
                    </a:ln>
                    <a:extLst>
                      <a:ext uri="{53640926-AAD7-44D8-BBD7-CCE9431645EC}">
                        <a14:shadowObscured xmlns:a14="http://schemas.microsoft.com/office/drawing/2010/main"/>
                      </a:ext>
                    </a:extLst>
                  </pic:spPr>
                </pic:pic>
              </a:graphicData>
            </a:graphic>
          </wp:inline>
        </w:drawing>
      </w:r>
    </w:p>
    <w:p w14:paraId="0BF72AB2" w14:textId="77777777" w:rsidR="00203A0B" w:rsidRPr="006C0D80" w:rsidRDefault="00203A0B" w:rsidP="00203A0B">
      <w:pPr>
        <w:tabs>
          <w:tab w:val="left" w:pos="4770"/>
        </w:tabs>
        <w:rPr>
          <w:rFonts w:ascii="Arial" w:hAnsi="Arial" w:cs="Arial"/>
          <w:sz w:val="22"/>
          <w:szCs w:val="22"/>
        </w:rPr>
      </w:pPr>
      <w:r w:rsidRPr="006C0D80">
        <w:rPr>
          <w:rFonts w:ascii="Arial" w:hAnsi="Arial" w:cs="Arial"/>
          <w:sz w:val="22"/>
          <w:szCs w:val="22"/>
        </w:rPr>
        <w:t>James A. Hieb, CAE</w:t>
      </w:r>
    </w:p>
    <w:p w14:paraId="242DADFB" w14:textId="77777777" w:rsidR="00203A0B" w:rsidRPr="006C0D80" w:rsidRDefault="00203A0B" w:rsidP="00203A0B">
      <w:pPr>
        <w:tabs>
          <w:tab w:val="left" w:pos="4770"/>
        </w:tabs>
        <w:rPr>
          <w:rFonts w:ascii="Arial" w:hAnsi="Arial" w:cs="Arial"/>
          <w:sz w:val="22"/>
          <w:szCs w:val="22"/>
        </w:rPr>
      </w:pPr>
      <w:r w:rsidRPr="006C0D80">
        <w:rPr>
          <w:rFonts w:ascii="Arial" w:hAnsi="Arial" w:cs="Arial"/>
          <w:sz w:val="22"/>
          <w:szCs w:val="22"/>
        </w:rPr>
        <w:t>Chief Executive Officer</w:t>
      </w:r>
    </w:p>
    <w:p w14:paraId="07783C52" w14:textId="77777777" w:rsidR="00203A0B" w:rsidRPr="006C0D80" w:rsidRDefault="00203A0B" w:rsidP="002566C4">
      <w:pPr>
        <w:tabs>
          <w:tab w:val="left" w:pos="4770"/>
        </w:tabs>
        <w:rPr>
          <w:rFonts w:ascii="Arial" w:hAnsi="Arial" w:cs="Arial"/>
          <w:sz w:val="22"/>
          <w:szCs w:val="22"/>
        </w:rPr>
      </w:pPr>
      <w:r w:rsidRPr="006C0D80">
        <w:rPr>
          <w:rFonts w:ascii="Arial" w:hAnsi="Arial" w:cs="Arial"/>
          <w:sz w:val="22"/>
          <w:szCs w:val="22"/>
        </w:rPr>
        <w:t>Natural Stone Institute</w:t>
      </w:r>
    </w:p>
    <w:sectPr w:rsidR="00203A0B" w:rsidRPr="006C0D80" w:rsidSect="00C201C7">
      <w:footerReference w:type="default" r:id="rId10"/>
      <w:pgSz w:w="11906" w:h="16838"/>
      <w:pgMar w:top="720" w:right="1440" w:bottom="720" w:left="1440" w:header="706"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8EF5B" w14:textId="77777777" w:rsidR="00B10EE1" w:rsidRDefault="00B10EE1">
      <w:r>
        <w:separator/>
      </w:r>
    </w:p>
  </w:endnote>
  <w:endnote w:type="continuationSeparator" w:id="0">
    <w:p w14:paraId="6755D7E6" w14:textId="77777777" w:rsidR="00B10EE1" w:rsidRDefault="00B1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825C4" w14:textId="77777777" w:rsidR="006C0D80" w:rsidRDefault="006C0D80" w:rsidP="006C0D80">
    <w:pPr>
      <w:pStyle w:val="Footer"/>
      <w:jc w:val="center"/>
    </w:pPr>
    <w:r>
      <w:t>380 East Lorain Street, Oberlin, OH  44074</w:t>
    </w:r>
  </w:p>
  <w:p w14:paraId="7FFDB714" w14:textId="77777777" w:rsidR="006C0D80" w:rsidRPr="00B401D6" w:rsidRDefault="006C0D80" w:rsidP="006C0D80">
    <w:pPr>
      <w:pStyle w:val="Footer"/>
      <w:jc w:val="center"/>
      <w:rPr>
        <w:b/>
      </w:rPr>
    </w:pPr>
    <w:r w:rsidRPr="00B401D6">
      <w:rPr>
        <w:b/>
      </w:rPr>
      <w:t>www.naturalstoneinstitute.org</w:t>
    </w:r>
  </w:p>
  <w:p w14:paraId="436570CD" w14:textId="77777777" w:rsidR="00FD17C4" w:rsidRDefault="00B10EE1">
    <w:pPr>
      <w:pStyle w:val="Footer"/>
      <w:jc w:val="center"/>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3B9A9" w14:textId="77777777" w:rsidR="00B10EE1" w:rsidRDefault="00B10EE1">
      <w:r>
        <w:separator/>
      </w:r>
    </w:p>
  </w:footnote>
  <w:footnote w:type="continuationSeparator" w:id="0">
    <w:p w14:paraId="362855E3" w14:textId="77777777" w:rsidR="00B10EE1" w:rsidRDefault="00B10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721"/>
    <w:multiLevelType w:val="hybridMultilevel"/>
    <w:tmpl w:val="6F50ADD4"/>
    <w:lvl w:ilvl="0" w:tplc="6A300C38">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B36CD"/>
    <w:multiLevelType w:val="hybridMultilevel"/>
    <w:tmpl w:val="2B5E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B47AF"/>
    <w:multiLevelType w:val="hybridMultilevel"/>
    <w:tmpl w:val="6DFC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5D"/>
    <w:rsid w:val="0007120A"/>
    <w:rsid w:val="00120A98"/>
    <w:rsid w:val="001958EA"/>
    <w:rsid w:val="001F2B9B"/>
    <w:rsid w:val="00203A0B"/>
    <w:rsid w:val="002566C4"/>
    <w:rsid w:val="002F152E"/>
    <w:rsid w:val="00367446"/>
    <w:rsid w:val="00416F61"/>
    <w:rsid w:val="004F6A71"/>
    <w:rsid w:val="00504A4C"/>
    <w:rsid w:val="0053497F"/>
    <w:rsid w:val="00543749"/>
    <w:rsid w:val="005631AA"/>
    <w:rsid w:val="00564301"/>
    <w:rsid w:val="00567752"/>
    <w:rsid w:val="00595CD6"/>
    <w:rsid w:val="005D7352"/>
    <w:rsid w:val="0062353A"/>
    <w:rsid w:val="006342D8"/>
    <w:rsid w:val="00636C41"/>
    <w:rsid w:val="006C0D80"/>
    <w:rsid w:val="006F76D1"/>
    <w:rsid w:val="00710D8D"/>
    <w:rsid w:val="00726AE7"/>
    <w:rsid w:val="00877149"/>
    <w:rsid w:val="00883833"/>
    <w:rsid w:val="00884983"/>
    <w:rsid w:val="008C0EAD"/>
    <w:rsid w:val="008D11B6"/>
    <w:rsid w:val="00915B26"/>
    <w:rsid w:val="0095255D"/>
    <w:rsid w:val="0098293E"/>
    <w:rsid w:val="009A199C"/>
    <w:rsid w:val="00A443F9"/>
    <w:rsid w:val="00A45E4C"/>
    <w:rsid w:val="00A83F50"/>
    <w:rsid w:val="00AA4554"/>
    <w:rsid w:val="00AF76CD"/>
    <w:rsid w:val="00B0255A"/>
    <w:rsid w:val="00B10EE1"/>
    <w:rsid w:val="00B401D6"/>
    <w:rsid w:val="00B67869"/>
    <w:rsid w:val="00BA4613"/>
    <w:rsid w:val="00C201C7"/>
    <w:rsid w:val="00C37E1A"/>
    <w:rsid w:val="00C52DE9"/>
    <w:rsid w:val="00C57E79"/>
    <w:rsid w:val="00CA1642"/>
    <w:rsid w:val="00CB22C1"/>
    <w:rsid w:val="00D3396C"/>
    <w:rsid w:val="00DC159D"/>
    <w:rsid w:val="00EF5904"/>
    <w:rsid w:val="00F16B20"/>
    <w:rsid w:val="00FB09EC"/>
    <w:rsid w:val="00FC7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AC78"/>
  <w15:docId w15:val="{088C3C5A-341E-4130-9C67-3B22D003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255D"/>
    <w:pPr>
      <w:spacing w:after="0"/>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255D"/>
    <w:pPr>
      <w:tabs>
        <w:tab w:val="center" w:pos="4153"/>
        <w:tab w:val="right" w:pos="8306"/>
      </w:tabs>
    </w:pPr>
    <w:rPr>
      <w:sz w:val="24"/>
      <w:szCs w:val="24"/>
    </w:rPr>
  </w:style>
  <w:style w:type="character" w:customStyle="1" w:styleId="FooterChar">
    <w:name w:val="Footer Char"/>
    <w:basedOn w:val="DefaultParagraphFont"/>
    <w:link w:val="Footer"/>
    <w:uiPriority w:val="99"/>
    <w:rsid w:val="0095255D"/>
    <w:rPr>
      <w:rFonts w:ascii="Times New Roman" w:eastAsia="Times New Roman" w:hAnsi="Times New Roman" w:cs="Times New Roman"/>
      <w:sz w:val="24"/>
      <w:szCs w:val="24"/>
      <w:lang w:eastAsia="en-GB"/>
    </w:rPr>
  </w:style>
  <w:style w:type="paragraph" w:styleId="NoSpacing">
    <w:name w:val="No Spacing"/>
    <w:uiPriority w:val="1"/>
    <w:qFormat/>
    <w:rsid w:val="0095255D"/>
    <w:pPr>
      <w:spacing w:after="0"/>
    </w:pPr>
  </w:style>
  <w:style w:type="paragraph" w:styleId="NormalWeb">
    <w:name w:val="Normal (Web)"/>
    <w:basedOn w:val="Normal"/>
    <w:uiPriority w:val="99"/>
    <w:unhideWhenUsed/>
    <w:rsid w:val="0095255D"/>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95255D"/>
    <w:rPr>
      <w:rFonts w:ascii="Tahoma" w:hAnsi="Tahoma" w:cs="Tahoma"/>
      <w:sz w:val="16"/>
      <w:szCs w:val="16"/>
    </w:rPr>
  </w:style>
  <w:style w:type="character" w:customStyle="1" w:styleId="BalloonTextChar">
    <w:name w:val="Balloon Text Char"/>
    <w:basedOn w:val="DefaultParagraphFont"/>
    <w:link w:val="BalloonText"/>
    <w:uiPriority w:val="99"/>
    <w:semiHidden/>
    <w:rsid w:val="0095255D"/>
    <w:rPr>
      <w:rFonts w:ascii="Tahoma" w:eastAsia="Times New Roman" w:hAnsi="Tahoma" w:cs="Tahoma"/>
      <w:sz w:val="16"/>
      <w:szCs w:val="16"/>
      <w:lang w:eastAsia="en-GB"/>
    </w:rPr>
  </w:style>
  <w:style w:type="character" w:styleId="Emphasis">
    <w:name w:val="Emphasis"/>
    <w:basedOn w:val="DefaultParagraphFont"/>
    <w:uiPriority w:val="20"/>
    <w:qFormat/>
    <w:rsid w:val="0095255D"/>
    <w:rPr>
      <w:i/>
      <w:iCs/>
    </w:rPr>
  </w:style>
  <w:style w:type="character" w:styleId="Strong">
    <w:name w:val="Strong"/>
    <w:basedOn w:val="DefaultParagraphFont"/>
    <w:uiPriority w:val="22"/>
    <w:qFormat/>
    <w:rsid w:val="0095255D"/>
    <w:rPr>
      <w:b/>
      <w:bCs/>
    </w:rPr>
  </w:style>
  <w:style w:type="paragraph" w:styleId="Header">
    <w:name w:val="header"/>
    <w:basedOn w:val="Normal"/>
    <w:link w:val="HeaderChar"/>
    <w:uiPriority w:val="99"/>
    <w:unhideWhenUsed/>
    <w:rsid w:val="00C52DE9"/>
    <w:pPr>
      <w:tabs>
        <w:tab w:val="center" w:pos="4513"/>
        <w:tab w:val="right" w:pos="9026"/>
      </w:tabs>
    </w:pPr>
  </w:style>
  <w:style w:type="character" w:customStyle="1" w:styleId="HeaderChar">
    <w:name w:val="Header Char"/>
    <w:basedOn w:val="DefaultParagraphFont"/>
    <w:link w:val="Header"/>
    <w:uiPriority w:val="99"/>
    <w:rsid w:val="00C52DE9"/>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B401D6"/>
    <w:rPr>
      <w:color w:val="0000FF" w:themeColor="hyperlink"/>
      <w:u w:val="single"/>
    </w:rPr>
  </w:style>
  <w:style w:type="character" w:customStyle="1" w:styleId="apple-converted-space">
    <w:name w:val="apple-converted-space"/>
    <w:basedOn w:val="DefaultParagraphFont"/>
    <w:rsid w:val="006C0D80"/>
  </w:style>
  <w:style w:type="paragraph" w:styleId="ListParagraph">
    <w:name w:val="List Paragraph"/>
    <w:basedOn w:val="Normal"/>
    <w:uiPriority w:val="34"/>
    <w:qFormat/>
    <w:rsid w:val="006C0D80"/>
    <w:pPr>
      <w:spacing w:after="240"/>
      <w:ind w:left="720" w:firstLine="720"/>
      <w:contextualSpacing/>
    </w:pPr>
    <w:rPr>
      <w:rFonts w:eastAsiaTheme="minorHAnsi"/>
      <w:color w:val="000000" w:themeColor="text1"/>
      <w:sz w:val="24"/>
      <w:szCs w:val="24"/>
      <w:lang w:val="en-US" w:eastAsia="en-US"/>
    </w:rPr>
  </w:style>
  <w:style w:type="character" w:styleId="UnresolvedMention">
    <w:name w:val="Unresolved Mention"/>
    <w:basedOn w:val="DefaultParagraphFont"/>
    <w:uiPriority w:val="99"/>
    <w:semiHidden/>
    <w:unhideWhenUsed/>
    <w:rsid w:val="00534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alstoneinstitute.org/covid19"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CIBT</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Sanderson</dc:creator>
  <cp:lastModifiedBy>Amy Oakley</cp:lastModifiedBy>
  <cp:revision>3</cp:revision>
  <cp:lastPrinted>2019-10-10T12:41:00Z</cp:lastPrinted>
  <dcterms:created xsi:type="dcterms:W3CDTF">2020-03-23T13:15:00Z</dcterms:created>
  <dcterms:modified xsi:type="dcterms:W3CDTF">2020-03-26T18:37:00Z</dcterms:modified>
</cp:coreProperties>
</file>